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D0" w:rsidRDefault="002A6365" w:rsidP="000B68D0">
      <w:pPr>
        <w:jc w:val="center"/>
        <w:rPr>
          <w:rFonts w:ascii="Times New Roman" w:hAnsi="Times New Roman"/>
          <w:color w:val="222222"/>
          <w:sz w:val="28"/>
          <w:szCs w:val="28"/>
          <w:lang/>
        </w:rPr>
      </w:pP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 xml:space="preserve">Rules of </w:t>
      </w:r>
      <w:r w:rsid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“</w:t>
      </w:r>
      <w:proofErr w:type="spellStart"/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CashBack</w:t>
      </w:r>
      <w:proofErr w:type="spellEnd"/>
      <w:r w:rsid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 xml:space="preserve">” Campaign </w:t>
      </w: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for</w:t>
      </w:r>
      <w:r w:rsidRPr="000B68D0">
        <w:rPr>
          <w:rFonts w:ascii="Times New Roman" w:hAnsi="Times New Roman"/>
          <w:b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VISA cardholders!</w:t>
      </w:r>
    </w:p>
    <w:p w:rsidR="000B68D0" w:rsidRDefault="002A6365" w:rsidP="000B68D0">
      <w:pPr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</w:pPr>
      <w:r w:rsidRPr="000B68D0">
        <w:rPr>
          <w:rFonts w:ascii="Times New Roman" w:hAnsi="Times New Roman"/>
          <w:color w:val="222222"/>
          <w:sz w:val="28"/>
          <w:szCs w:val="28"/>
          <w:lang/>
        </w:rPr>
        <w:br/>
      </w: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General terms and conditions</w:t>
      </w:r>
    </w:p>
    <w:p w:rsidR="004B32F6" w:rsidRPr="000B68D0" w:rsidRDefault="002A6365" w:rsidP="000B68D0">
      <w:pPr>
        <w:rPr>
          <w:rFonts w:ascii="Times New Roman" w:hAnsi="Times New Roman"/>
          <w:b/>
          <w:color w:val="222222"/>
          <w:sz w:val="28"/>
          <w:szCs w:val="28"/>
          <w:lang/>
        </w:rPr>
      </w:pP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1.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Joint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Fonts w:ascii="Times New Roman" w:hAnsi="Times New Roman"/>
          <w:color w:val="00B0F0"/>
          <w:sz w:val="28"/>
          <w:szCs w:val="28"/>
          <w:u w:val="single"/>
          <w:lang/>
        </w:rPr>
        <w:t xml:space="preserve">Campaign </w:t>
      </w:r>
      <w:r w:rsidRPr="000B68D0">
        <w:rPr>
          <w:rStyle w:val="hps"/>
          <w:rFonts w:ascii="Times New Roman" w:hAnsi="Times New Roman"/>
          <w:color w:val="00B0F0"/>
          <w:sz w:val="28"/>
          <w:szCs w:val="28"/>
          <w:u w:val="single"/>
          <w:lang/>
        </w:rPr>
        <w:t>for VISA cardholders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(</w:t>
      </w:r>
      <w:r w:rsidRPr="000B68D0">
        <w:rPr>
          <w:rStyle w:val="atn"/>
          <w:rFonts w:ascii="Times New Roman" w:hAnsi="Times New Roman"/>
          <w:color w:val="222222"/>
          <w:sz w:val="28"/>
          <w:szCs w:val="28"/>
          <w:lang/>
        </w:rPr>
        <w:t>hereinafter the "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Campaign")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is conducted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by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"</w:t>
      </w:r>
      <w:proofErr w:type="spellStart"/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Agroinvestbank</w:t>
      </w:r>
      <w:proofErr w:type="spellEnd"/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(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hereinafter referred to as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the" Bank "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)," and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the international payment system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VISA.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br/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2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.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The Campaign</w:t>
      </w:r>
      <w:r w:rsidRPr="000B68D0">
        <w:rPr>
          <w:rStyle w:val="shorttext"/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is carried out in all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branches of the Bank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during the period from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1 September 2013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to 28 February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2014 (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hereinafter referred to as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the "</w:t>
      </w:r>
      <w:r w:rsidR="000B68D0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Ca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m</w:t>
      </w:r>
      <w:r w:rsidR="000B68D0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p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aign</w:t>
      </w:r>
      <w:r w:rsidR="000B68D0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Term")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>.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br/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3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>.</w:t>
      </w:r>
      <w:r w:rsidRPr="000B68D0">
        <w:rPr>
          <w:rStyle w:val="a3"/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Participant</w:t>
      </w:r>
      <w:r w:rsidR="00DF7431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s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may be any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citizens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who are holders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of payment cards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="00516995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Visa Electron?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 xml:space="preserve"> Visa Classic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and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Visa Gold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issued by the Bank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>.</w:t>
      </w:r>
    </w:p>
    <w:p w:rsidR="00DF7431" w:rsidRPr="000B68D0" w:rsidRDefault="00DF7431">
      <w:pPr>
        <w:rPr>
          <w:rStyle w:val="hps"/>
          <w:rFonts w:ascii="Times New Roman" w:hAnsi="Times New Roman"/>
          <w:color w:val="222222"/>
          <w:sz w:val="28"/>
          <w:szCs w:val="28"/>
          <w:lang/>
        </w:rPr>
      </w:pP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In the</w:t>
      </w:r>
      <w:r w:rsidRPr="000B68D0">
        <w:rPr>
          <w:rFonts w:ascii="Times New Roman" w:hAnsi="Times New Roman"/>
          <w:b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Campaign</w:t>
      </w:r>
      <w:r w:rsidRPr="000B68D0">
        <w:rPr>
          <w:rFonts w:ascii="Times New Roman" w:hAnsi="Times New Roman"/>
          <w:b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following prizes</w:t>
      </w:r>
      <w:r w:rsidRPr="000B68D0">
        <w:rPr>
          <w:rFonts w:ascii="Times New Roman" w:hAnsi="Times New Roman"/>
          <w:b/>
          <w:color w:val="222222"/>
          <w:sz w:val="28"/>
          <w:szCs w:val="28"/>
          <w:lang/>
        </w:rPr>
        <w:t>: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br/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-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During the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entire event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participants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wishing to take part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in the campaign,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may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receive re</w:t>
      </w:r>
      <w:r w:rsidR="000B68D0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ward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from the Bank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in the form of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2% of the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money they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spent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on the Visa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Bank</w:t>
      </w:r>
      <w:r w:rsidR="00516995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 xml:space="preserve"> card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in any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trade or service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="00516995" w:rsidRPr="000B68D0">
        <w:rPr>
          <w:rFonts w:ascii="Times New Roman" w:hAnsi="Times New Roman"/>
          <w:color w:val="222222"/>
          <w:sz w:val="28"/>
          <w:szCs w:val="28"/>
          <w:lang/>
        </w:rPr>
        <w:t>center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located in the territory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of the Republic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of Tajikistan.</w:t>
      </w:r>
    </w:p>
    <w:p w:rsidR="00516995" w:rsidRPr="000B68D0" w:rsidRDefault="00516995">
      <w:pPr>
        <w:rPr>
          <w:rFonts w:ascii="Times New Roman" w:hAnsi="Times New Roman"/>
          <w:color w:val="222222"/>
          <w:sz w:val="28"/>
          <w:szCs w:val="28"/>
          <w:lang/>
        </w:rPr>
      </w:pP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On cards</w:t>
      </w:r>
      <w:r w:rsidRPr="000B68D0">
        <w:rPr>
          <w:rFonts w:ascii="Times New Roman" w:hAnsi="Times New Roman"/>
          <w:b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Visa Electron,</w:t>
      </w:r>
      <w:r w:rsidRPr="000B68D0">
        <w:rPr>
          <w:rFonts w:ascii="Times New Roman" w:hAnsi="Times New Roman"/>
          <w:b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and</w:t>
      </w:r>
      <w:r w:rsidRPr="000B68D0">
        <w:rPr>
          <w:rFonts w:ascii="Times New Roman" w:hAnsi="Times New Roman"/>
          <w:b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premium</w:t>
      </w:r>
      <w:r w:rsidRPr="000B68D0">
        <w:rPr>
          <w:rFonts w:ascii="Times New Roman" w:hAnsi="Times New Roman"/>
          <w:b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Visa Classic</w:t>
      </w:r>
      <w:r w:rsidRPr="000B68D0">
        <w:rPr>
          <w:rFonts w:ascii="Times New Roman" w:hAnsi="Times New Roman"/>
          <w:b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and</w:t>
      </w:r>
      <w:r w:rsidRPr="000B68D0">
        <w:rPr>
          <w:rFonts w:ascii="Times New Roman" w:hAnsi="Times New Roman"/>
          <w:b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Visa Gold: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br/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Offer is valid for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members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who are holders of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cards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Visa Electron, Visa Classic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and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Visa Gold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issued by the Bank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committed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 xml:space="preserve">during the </w:t>
      </w:r>
      <w:r w:rsidR="000B68D0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Ca</w:t>
      </w:r>
      <w:r w:rsidR="00EF3C13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m</w:t>
      </w:r>
      <w:r w:rsidR="000B68D0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p</w:t>
      </w:r>
      <w:r w:rsidR="00EF3C13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aign</w:t>
      </w:r>
      <w:r w:rsidR="000B68D0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="00EF3C13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 xml:space="preserve">Term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one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or more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card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payment for goods/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services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*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(hereinafter -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Transaction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)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**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in any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trade or service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Bank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and banks</w:t>
      </w:r>
      <w:r w:rsidR="00EF3C13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 xml:space="preserve"> in the Republic of Tajikistan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>.</w:t>
      </w:r>
    </w:p>
    <w:p w:rsidR="00EF3C13" w:rsidRPr="000B68D0" w:rsidRDefault="00EF3C13">
      <w:pPr>
        <w:rPr>
          <w:rStyle w:val="hps"/>
          <w:rFonts w:ascii="Times New Roman" w:hAnsi="Times New Roman"/>
          <w:color w:val="222222"/>
          <w:lang/>
        </w:rPr>
      </w:pPr>
      <w:r w:rsidRPr="000B68D0">
        <w:rPr>
          <w:rStyle w:val="hps"/>
          <w:rFonts w:ascii="Times New Roman" w:hAnsi="Times New Roman"/>
          <w:color w:val="222222"/>
          <w:lang/>
        </w:rPr>
        <w:t>*</w:t>
      </w:r>
      <w:r w:rsidRPr="000B68D0">
        <w:rPr>
          <w:rFonts w:ascii="Times New Roman" w:hAnsi="Times New Roman"/>
          <w:color w:val="222222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lang/>
        </w:rPr>
        <w:t>Except of</w:t>
      </w:r>
      <w:r w:rsidRPr="000B68D0">
        <w:rPr>
          <w:rFonts w:ascii="Times New Roman" w:hAnsi="Times New Roman"/>
          <w:color w:val="222222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lang/>
        </w:rPr>
        <w:t>electronic purse</w:t>
      </w:r>
      <w:r w:rsidRPr="000B68D0">
        <w:rPr>
          <w:rFonts w:ascii="Times New Roman" w:hAnsi="Times New Roman"/>
          <w:color w:val="222222"/>
          <w:lang/>
        </w:rPr>
        <w:t xml:space="preserve">, </w:t>
      </w:r>
      <w:r w:rsidRPr="000B68D0">
        <w:rPr>
          <w:rStyle w:val="hps"/>
          <w:rFonts w:ascii="Times New Roman" w:hAnsi="Times New Roman"/>
          <w:color w:val="222222"/>
          <w:lang/>
        </w:rPr>
        <w:t>high-risk</w:t>
      </w:r>
      <w:r w:rsidRPr="000B68D0">
        <w:rPr>
          <w:rFonts w:ascii="Times New Roman" w:hAnsi="Times New Roman"/>
          <w:color w:val="222222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lang/>
        </w:rPr>
        <w:t>operations and other</w:t>
      </w:r>
      <w:r w:rsidRPr="000B68D0">
        <w:rPr>
          <w:rFonts w:ascii="Times New Roman" w:hAnsi="Times New Roman"/>
          <w:color w:val="222222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lang/>
        </w:rPr>
        <w:t>financial transactions</w:t>
      </w:r>
      <w:r w:rsidRPr="000B68D0">
        <w:rPr>
          <w:rFonts w:ascii="Times New Roman" w:hAnsi="Times New Roman"/>
          <w:color w:val="222222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lang/>
        </w:rPr>
        <w:t>not related to the</w:t>
      </w:r>
      <w:r w:rsidRPr="000B68D0">
        <w:rPr>
          <w:rFonts w:ascii="Times New Roman" w:hAnsi="Times New Roman"/>
          <w:color w:val="222222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lang/>
        </w:rPr>
        <w:t>payment for goods</w:t>
      </w:r>
      <w:r w:rsidRPr="000B68D0">
        <w:rPr>
          <w:rFonts w:ascii="Times New Roman" w:hAnsi="Times New Roman"/>
          <w:color w:val="222222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lang/>
        </w:rPr>
        <w:t>and services.</w:t>
      </w:r>
      <w:r w:rsidRPr="000B68D0">
        <w:rPr>
          <w:rFonts w:ascii="Times New Roman" w:hAnsi="Times New Roman"/>
          <w:color w:val="222222"/>
          <w:lang/>
        </w:rPr>
        <w:br/>
      </w:r>
      <w:r w:rsidRPr="000B68D0">
        <w:rPr>
          <w:rStyle w:val="hps"/>
          <w:rFonts w:ascii="Times New Roman" w:hAnsi="Times New Roman"/>
          <w:color w:val="222222"/>
          <w:lang/>
        </w:rPr>
        <w:t>**</w:t>
      </w:r>
      <w:r w:rsidRPr="000B68D0">
        <w:rPr>
          <w:rFonts w:ascii="Times New Roman" w:hAnsi="Times New Roman"/>
          <w:color w:val="222222"/>
          <w:lang/>
        </w:rPr>
        <w:t xml:space="preserve"> </w:t>
      </w:r>
      <w:proofErr w:type="gramStart"/>
      <w:r w:rsidRPr="000B68D0">
        <w:rPr>
          <w:rStyle w:val="hps"/>
          <w:rFonts w:ascii="Times New Roman" w:hAnsi="Times New Roman"/>
          <w:color w:val="222222"/>
          <w:lang/>
        </w:rPr>
        <w:t>into</w:t>
      </w:r>
      <w:proofErr w:type="gramEnd"/>
      <w:r w:rsidRPr="000B68D0">
        <w:rPr>
          <w:rStyle w:val="hps"/>
          <w:rFonts w:ascii="Times New Roman" w:hAnsi="Times New Roman"/>
          <w:color w:val="222222"/>
          <w:lang/>
        </w:rPr>
        <w:t xml:space="preserve"> consideration are taken transactions made</w:t>
      </w:r>
      <w:r w:rsidRPr="000B68D0">
        <w:rPr>
          <w:rFonts w:ascii="Times New Roman" w:hAnsi="Times New Roman"/>
          <w:color w:val="222222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lang/>
        </w:rPr>
        <w:t>in the</w:t>
      </w:r>
      <w:r w:rsidRPr="000B68D0">
        <w:rPr>
          <w:rFonts w:ascii="Times New Roman" w:hAnsi="Times New Roman"/>
          <w:color w:val="222222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lang/>
        </w:rPr>
        <w:t>PTS,</w:t>
      </w:r>
      <w:r w:rsidRPr="000B68D0">
        <w:rPr>
          <w:rFonts w:ascii="Times New Roman" w:hAnsi="Times New Roman"/>
          <w:color w:val="222222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lang/>
        </w:rPr>
        <w:t>in an amount not</w:t>
      </w:r>
      <w:r w:rsidRPr="000B68D0">
        <w:rPr>
          <w:rFonts w:ascii="Times New Roman" w:hAnsi="Times New Roman"/>
          <w:color w:val="222222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lang/>
        </w:rPr>
        <w:t>less than 100</w:t>
      </w:r>
      <w:r w:rsidRPr="000B68D0">
        <w:rPr>
          <w:rFonts w:ascii="Times New Roman" w:hAnsi="Times New Roman"/>
          <w:color w:val="222222"/>
          <w:lang/>
        </w:rPr>
        <w:t xml:space="preserve"> </w:t>
      </w:r>
      <w:proofErr w:type="spellStart"/>
      <w:r w:rsidRPr="000B68D0">
        <w:rPr>
          <w:rStyle w:val="hps"/>
          <w:rFonts w:ascii="Times New Roman" w:hAnsi="Times New Roman"/>
          <w:color w:val="222222"/>
          <w:lang/>
        </w:rPr>
        <w:t>Somoni</w:t>
      </w:r>
      <w:proofErr w:type="spellEnd"/>
    </w:p>
    <w:p w:rsidR="00EF3C13" w:rsidRPr="000B68D0" w:rsidRDefault="00EF3C13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The procedure for determining</w:t>
      </w:r>
      <w:r w:rsidRPr="000B68D0">
        <w:rPr>
          <w:rFonts w:ascii="Times New Roman" w:hAnsi="Times New Roman"/>
          <w:b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the Campaign participant</w:t>
      </w:r>
      <w:r w:rsidRPr="000B68D0">
        <w:rPr>
          <w:rFonts w:ascii="Times New Roman" w:hAnsi="Times New Roman"/>
          <w:b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and notification of</w:t>
      </w:r>
      <w:r w:rsidRPr="000B68D0">
        <w:rPr>
          <w:rFonts w:ascii="Times New Roman" w:hAnsi="Times New Roman"/>
          <w:b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b/>
          <w:color w:val="222222"/>
          <w:sz w:val="28"/>
          <w:szCs w:val="28"/>
          <w:lang/>
        </w:rPr>
        <w:t>reward.</w:t>
      </w:r>
      <w:proofErr w:type="gramEnd"/>
      <w:r w:rsidRPr="000B68D0">
        <w:rPr>
          <w:rFonts w:ascii="Times New Roman" w:hAnsi="Times New Roman"/>
          <w:color w:val="222222"/>
          <w:sz w:val="28"/>
          <w:szCs w:val="28"/>
          <w:lang/>
        </w:rPr>
        <w:br/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Subject to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the above conditions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Campaign participant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after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each transaction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in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PTS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within 1 business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day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 xml:space="preserve">receive </w:t>
      </w:r>
      <w:r w:rsidR="000B68D0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reward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in the form of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2% of the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amount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spent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(</w:t>
      </w:r>
      <w:proofErr w:type="spellStart"/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CashBack</w:t>
      </w:r>
      <w:proofErr w:type="spellEnd"/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)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on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a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plastic card.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To monitor the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incoming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reward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client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connects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SMS-banking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,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and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independently monitors the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flow of funds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.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In the case of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non-receipt of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the purchase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money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back to the card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in the amount of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2% of the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 xml:space="preserve">transaction </w:t>
      </w:r>
      <w:proofErr w:type="gramStart"/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amount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 xml:space="preserve"> the</w:t>
      </w:r>
      <w:proofErr w:type="gramEnd"/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="000B68D0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Participant in</w:t>
      </w:r>
      <w:r w:rsidR="000B68D0"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="000B68D0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Campaign Term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may apply to the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Bank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 xml:space="preserve">for </w:t>
      </w:r>
      <w:r w:rsidR="000B68D0"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explanation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and resolution</w:t>
      </w:r>
      <w:r w:rsidRPr="000B68D0">
        <w:rPr>
          <w:rFonts w:ascii="Times New Roman" w:hAnsi="Times New Roman"/>
          <w:color w:val="222222"/>
          <w:sz w:val="28"/>
          <w:szCs w:val="28"/>
          <w:lang/>
        </w:rPr>
        <w:t xml:space="preserve"> </w:t>
      </w:r>
      <w:r w:rsidRPr="000B68D0">
        <w:rPr>
          <w:rStyle w:val="hps"/>
          <w:rFonts w:ascii="Times New Roman" w:hAnsi="Times New Roman"/>
          <w:color w:val="222222"/>
          <w:sz w:val="28"/>
          <w:szCs w:val="28"/>
          <w:lang/>
        </w:rPr>
        <w:t>of the issue.</w:t>
      </w:r>
    </w:p>
    <w:sectPr w:rsidR="00EF3C13" w:rsidRPr="000B68D0" w:rsidSect="004B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365"/>
    <w:rsid w:val="00084747"/>
    <w:rsid w:val="000B68D0"/>
    <w:rsid w:val="00293B81"/>
    <w:rsid w:val="002A6365"/>
    <w:rsid w:val="004B32F6"/>
    <w:rsid w:val="00516995"/>
    <w:rsid w:val="008A335D"/>
    <w:rsid w:val="00DF7431"/>
    <w:rsid w:val="00E56474"/>
    <w:rsid w:val="00E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747"/>
    <w:rPr>
      <w:sz w:val="22"/>
      <w:szCs w:val="22"/>
      <w:lang w:eastAsia="en-US"/>
    </w:rPr>
  </w:style>
  <w:style w:type="character" w:customStyle="1" w:styleId="hps">
    <w:name w:val="hps"/>
    <w:basedOn w:val="a0"/>
    <w:rsid w:val="002A6365"/>
  </w:style>
  <w:style w:type="character" w:customStyle="1" w:styleId="atn">
    <w:name w:val="atn"/>
    <w:basedOn w:val="a0"/>
    <w:rsid w:val="002A6365"/>
  </w:style>
  <w:style w:type="character" w:customStyle="1" w:styleId="shorttext">
    <w:name w:val="short_text"/>
    <w:basedOn w:val="a0"/>
    <w:rsid w:val="002A6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AOrifov</dc:creator>
  <cp:keywords/>
  <dc:description/>
  <cp:lastModifiedBy>AOrifov</cp:lastModifiedBy>
  <cp:revision>3</cp:revision>
  <dcterms:created xsi:type="dcterms:W3CDTF">2013-08-30T03:41:00Z</dcterms:created>
  <dcterms:modified xsi:type="dcterms:W3CDTF">2013-08-30T05:07:00Z</dcterms:modified>
</cp:coreProperties>
</file>